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47.11 g of fish to maintain their body size, assuming 60% of their diet consists of fish prey (Figure</w:t>
      </w:r>
      <w:r>
        <w:t xml:space="preserve"> </w:t>
      </w:r>
      <w:r>
        <w:t xml:space="preserve">4</w:t>
      </w:r>
      <w:r>
        <w:t xml:space="preserve">). Fall consumption ranged from 38.9 g for a diet of 30% fish to 50.73 g for a diet of 90% fish. During the spring NRR emigration, we estimated an average-size Northern Pikeminnow (352.9 TL mm) to consume 46.22 g of fish, assuming 60% of their diet is fish prey (Figure</w:t>
      </w:r>
      <w:r>
        <w:t xml:space="preserve"> </w:t>
      </w:r>
      <w:r>
        <w:t xml:space="preserve">4</w:t>
      </w:r>
      <w:r>
        <w:t xml:space="preserve">).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95,121 (95% CI: 48,606 - 202,661)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584 (95% CI: 250 - 1,447).</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juvenile Chinook Salmon consumed and adult equivalents for scenario where 60% of Northern Pikeminnow diet is fish, the median of scenarios evaluated. Table shows scenarios where 30%, 50%, and 65% of total fish consumed is Chinook Salmon. Estimates and 95% confidence intervals are calculated using Northern Pikeminnow abundance estimates of 27,874 (95% CI: 14,244 - 59,388) for fall and 14,799 (95% CI: 7,562 - 31,530) for spring.</w:t>
      </w:r>
      <w:r>
        <w:t xml:space="preserve"> </w:t>
      </w:r>
      <w:r>
        <w:t xml:space="preserve">‘</w:t>
      </w:r>
      <w:r>
        <w:t xml:space="preserve">Adult equivalents</w:t>
      </w:r>
      <w:r>
        <w:t xml:space="preserve">’</w:t>
      </w:r>
      <w:r>
        <w:t xml:space="preserve"> </w:t>
      </w:r>
      <w:r>
        <w:t xml:space="preserve">are estimated using a Lower Granite Dam smolt-to-adult rate (SAR) for upper Salmon River Chinook Salmon from McCann et al. (2019).</w:t>
      </w:r>
    </w:p>
    <w:tbl>
      <w:tblPr>
        <w:tblStyle w:val="Table"/>
        <w:tblW w:type="auto" w:w="0"/>
        <w:tblLook w:firstRow="1" w:lastRow="0" w:firstColumn="0" w:lastColumn="0" w:noHBand="0" w:noVBand="0" w:val="0020"/>
        <w:tblCaption w:val="Table 6: Estimates of juvenile Chinook Salmon consumed and adult equivalents for scenario where 60% of Northern Pikeminnow diet is fish, the median of scenarios evaluated. Table shows scenarios where 30%, 50%, and 65% of total fish consumed is Chinook Salmon. Estimates and 95% confidence intervals are calculated using Northern Pikeminnow abundance estimates of 27,874 (95% CI: 14,244 - 59,388) for fall and 14,799 (95% CI: 7,562 - 31,530) for spring. ‘Adult equivalents’ are estimated using a Lower Granite Dam smolt-to-adult rate (SAR) for upper Salmon River Chinook Salmon from McCann et al. (2019)."/>
      </w:tblPr>
      <w:tblGrid>
        <w:gridCol w:w="1584"/>
        <w:gridCol w:w="1584"/>
        <w:gridCol w:w="1584"/>
        <w:gridCol w:w="1584"/>
        <w:gridCol w:w="1584"/>
      </w:tblGrid>
      <w:tr>
        <w:trPr>
          <w:tblHeader w:val="true"/>
        </w:trPr>
        <w:tc>
          <w:tcPr/>
          <w:p>
            <w:pPr>
              <w:pStyle w:val="Compact"/>
              <w:jc w:val="left"/>
            </w:pPr>
            <w:r>
              <w:t xml:space="preserve">Stage</w:t>
            </w:r>
          </w:p>
        </w:tc>
        <w:tc>
          <w:tcPr/>
          <w:p>
            <w:pPr>
              <w:pStyle w:val="Compact"/>
              <w:jc w:val="right"/>
            </w:pPr>
            <w:r>
              <w:t xml:space="preserve">% Chinook</w:t>
            </w:r>
          </w:p>
        </w:tc>
        <w:tc>
          <w:tcPr/>
          <w:p>
            <w:pPr>
              <w:pStyle w:val="Compact"/>
              <w:jc w:val="right"/>
            </w:pPr>
            <w:r>
              <w:t xml:space="preserve">N</w:t>
            </w:r>
          </w:p>
        </w:tc>
        <w:tc>
          <w:tcPr/>
          <w:p>
            <w:pPr>
              <w:pStyle w:val="Compact"/>
              <w:jc w:val="right"/>
            </w:pPr>
            <w:r>
              <w:t xml:space="preserve">95% L CI</w:t>
            </w:r>
          </w:p>
        </w:tc>
        <w:tc>
          <w:tcPr/>
          <w:p>
            <w:pPr>
              <w:pStyle w:val="Compact"/>
              <w:jc w:val="right"/>
            </w:pPr>
            <w:r>
              <w:t xml:space="preserve">95% U CI</w:t>
            </w:r>
          </w:p>
        </w:tc>
      </w:tr>
      <w:tr>
        <w:tc>
          <w:tcPr/>
          <w:p>
            <w:pPr>
              <w:pStyle w:val="Compact"/>
              <w:jc w:val="left"/>
            </w:pPr>
            <w:r>
              <w:t xml:space="preserve">Juveniles</w:t>
            </w:r>
          </w:p>
        </w:tc>
        <w:tc>
          <w:tcPr/>
          <w:p>
            <w:pPr>
              <w:pStyle w:val="Compact"/>
              <w:jc w:val="right"/>
            </w:pPr>
            <w:r>
              <w:t xml:space="preserve">30</w:t>
            </w:r>
          </w:p>
        </w:tc>
        <w:tc>
          <w:tcPr/>
          <w:p>
            <w:pPr>
              <w:pStyle w:val="Compact"/>
              <w:jc w:val="right"/>
            </w:pPr>
            <w:r>
              <w:t xml:space="preserve">57,072</w:t>
            </w:r>
          </w:p>
        </w:tc>
        <w:tc>
          <w:tcPr/>
          <w:p>
            <w:pPr>
              <w:pStyle w:val="Compact"/>
              <w:jc w:val="right"/>
            </w:pPr>
            <w:r>
              <w:t xml:space="preserve">29,164</w:t>
            </w:r>
          </w:p>
        </w:tc>
        <w:tc>
          <w:tcPr/>
          <w:p>
            <w:pPr>
              <w:pStyle w:val="Compact"/>
              <w:jc w:val="right"/>
            </w:pPr>
            <w:r>
              <w:t xml:space="preserve">121,597</w:t>
            </w:r>
          </w:p>
        </w:tc>
      </w:tr>
      <w:tr>
        <w:tc>
          <w:tcPr/>
          <w:p>
            <w:pPr>
              <w:pStyle w:val="Compact"/>
              <w:jc w:val="left"/>
            </w:pPr>
            <w:r>
              <w:t xml:space="preserve">Juveniles</w:t>
            </w:r>
          </w:p>
        </w:tc>
        <w:tc>
          <w:tcPr/>
          <w:p>
            <w:pPr>
              <w:pStyle w:val="Compact"/>
              <w:jc w:val="right"/>
            </w:pPr>
            <w:r>
              <w:t xml:space="preserve">50</w:t>
            </w:r>
          </w:p>
        </w:tc>
        <w:tc>
          <w:tcPr/>
          <w:p>
            <w:pPr>
              <w:pStyle w:val="Compact"/>
              <w:jc w:val="right"/>
            </w:pPr>
            <w:r>
              <w:t xml:space="preserve">95,121</w:t>
            </w:r>
          </w:p>
        </w:tc>
        <w:tc>
          <w:tcPr/>
          <w:p>
            <w:pPr>
              <w:pStyle w:val="Compact"/>
              <w:jc w:val="right"/>
            </w:pPr>
            <w:r>
              <w:t xml:space="preserve">48,606</w:t>
            </w:r>
          </w:p>
        </w:tc>
        <w:tc>
          <w:tcPr/>
          <w:p>
            <w:pPr>
              <w:pStyle w:val="Compact"/>
              <w:jc w:val="right"/>
            </w:pPr>
            <w:r>
              <w:t xml:space="preserve">202,661</w:t>
            </w:r>
          </w:p>
        </w:tc>
      </w:tr>
      <w:tr>
        <w:tc>
          <w:tcPr/>
          <w:p>
            <w:pPr>
              <w:pStyle w:val="Compact"/>
              <w:jc w:val="left"/>
            </w:pPr>
            <w:r>
              <w:t xml:space="preserve">Juveniles</w:t>
            </w:r>
          </w:p>
        </w:tc>
        <w:tc>
          <w:tcPr/>
          <w:p>
            <w:pPr>
              <w:pStyle w:val="Compact"/>
              <w:jc w:val="right"/>
            </w:pPr>
            <w:r>
              <w:t xml:space="preserve">65</w:t>
            </w:r>
          </w:p>
        </w:tc>
        <w:tc>
          <w:tcPr/>
          <w:p>
            <w:pPr>
              <w:pStyle w:val="Compact"/>
              <w:jc w:val="right"/>
            </w:pPr>
            <w:r>
              <w:t xml:space="preserve">123,657</w:t>
            </w:r>
          </w:p>
        </w:tc>
        <w:tc>
          <w:tcPr/>
          <w:p>
            <w:pPr>
              <w:pStyle w:val="Compact"/>
              <w:jc w:val="right"/>
            </w:pPr>
            <w:r>
              <w:t xml:space="preserve">63,188</w:t>
            </w:r>
          </w:p>
        </w:tc>
        <w:tc>
          <w:tcPr/>
          <w:p>
            <w:pPr>
              <w:pStyle w:val="Compact"/>
              <w:jc w:val="right"/>
            </w:pPr>
            <w:r>
              <w:t xml:space="preserve">263,460</w:t>
            </w:r>
          </w:p>
        </w:tc>
      </w:tr>
      <w:tr>
        <w:tc>
          <w:tcPr/>
          <w:p>
            <w:pPr>
              <w:pStyle w:val="Compact"/>
              <w:jc w:val="left"/>
            </w:pPr>
            <w:r>
              <w:t xml:space="preserve">Adult Equivalents</w:t>
            </w:r>
          </w:p>
        </w:tc>
        <w:tc>
          <w:tcPr/>
          <w:p>
            <w:pPr>
              <w:pStyle w:val="Compact"/>
              <w:jc w:val="right"/>
            </w:pPr>
            <w:r>
              <w:t xml:space="preserve">30</w:t>
            </w:r>
          </w:p>
        </w:tc>
        <w:tc>
          <w:tcPr/>
          <w:p>
            <w:pPr>
              <w:pStyle w:val="Compact"/>
              <w:jc w:val="right"/>
            </w:pPr>
            <w:r>
              <w:t xml:space="preserve">351</w:t>
            </w:r>
          </w:p>
        </w:tc>
        <w:tc>
          <w:tcPr/>
          <w:p>
            <w:pPr>
              <w:pStyle w:val="Compact"/>
              <w:jc w:val="right"/>
            </w:pPr>
            <w:r>
              <w:t xml:space="preserve">150</w:t>
            </w:r>
          </w:p>
        </w:tc>
        <w:tc>
          <w:tcPr/>
          <w:p>
            <w:pPr>
              <w:pStyle w:val="Compact"/>
              <w:jc w:val="right"/>
            </w:pPr>
            <w:r>
              <w:t xml:space="preserve">868</w:t>
            </w:r>
          </w:p>
        </w:tc>
      </w:tr>
      <w:tr>
        <w:tc>
          <w:tcPr/>
          <w:p>
            <w:pPr>
              <w:pStyle w:val="Compact"/>
              <w:jc w:val="left"/>
            </w:pPr>
            <w:r>
              <w:t xml:space="preserve">Adult Equivalents</w:t>
            </w:r>
          </w:p>
        </w:tc>
        <w:tc>
          <w:tcPr/>
          <w:p>
            <w:pPr>
              <w:pStyle w:val="Compact"/>
              <w:jc w:val="right"/>
            </w:pPr>
            <w:r>
              <w:t xml:space="preserve">50</w:t>
            </w:r>
          </w:p>
        </w:tc>
        <w:tc>
          <w:tcPr/>
          <w:p>
            <w:pPr>
              <w:pStyle w:val="Compact"/>
              <w:jc w:val="right"/>
            </w:pPr>
            <w:r>
              <w:t xml:space="preserve">584</w:t>
            </w:r>
          </w:p>
        </w:tc>
        <w:tc>
          <w:tcPr/>
          <w:p>
            <w:pPr>
              <w:pStyle w:val="Compact"/>
              <w:jc w:val="right"/>
            </w:pPr>
            <w:r>
              <w:t xml:space="preserve">250</w:t>
            </w:r>
          </w:p>
        </w:tc>
        <w:tc>
          <w:tcPr/>
          <w:p>
            <w:pPr>
              <w:pStyle w:val="Compact"/>
              <w:jc w:val="right"/>
            </w:pPr>
            <w:r>
              <w:t xml:space="preserve">1,447</w:t>
            </w:r>
          </w:p>
        </w:tc>
      </w:tr>
      <w:tr>
        <w:tc>
          <w:tcPr/>
          <w:p>
            <w:pPr>
              <w:pStyle w:val="Compact"/>
              <w:jc w:val="left"/>
            </w:pPr>
            <w:r>
              <w:t xml:space="preserve">Adult Equivalents</w:t>
            </w:r>
          </w:p>
        </w:tc>
        <w:tc>
          <w:tcPr/>
          <w:p>
            <w:pPr>
              <w:pStyle w:val="Compact"/>
              <w:jc w:val="right"/>
            </w:pPr>
            <w:r>
              <w:t xml:space="preserve">65</w:t>
            </w:r>
          </w:p>
        </w:tc>
        <w:tc>
          <w:tcPr/>
          <w:p>
            <w:pPr>
              <w:pStyle w:val="Compact"/>
              <w:jc w:val="right"/>
            </w:pPr>
            <w:r>
              <w:t xml:space="preserve">760</w:t>
            </w:r>
          </w:p>
        </w:tc>
        <w:tc>
          <w:tcPr/>
          <w:p>
            <w:pPr>
              <w:pStyle w:val="Compact"/>
              <w:jc w:val="right"/>
            </w:pPr>
            <w:r>
              <w:t xml:space="preserve">325</w:t>
            </w:r>
          </w:p>
        </w:tc>
        <w:tc>
          <w:tcPr/>
          <w:p>
            <w:pPr>
              <w:pStyle w:val="Compact"/>
              <w:jc w:val="right"/>
            </w:pPr>
            <w:r>
              <w:t xml:space="preserve">1,881</w:t>
            </w:r>
          </w:p>
        </w:tc>
      </w:tr>
    </w:tbl>
    <w:p>
      <w:r>
        <w:br w:type="page"/>
      </w:r>
    </w:p>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2022-02-01 14:22:06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[653e797] 2022-02-01: cleaned up some references</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2022-02-01T21:22:09Z</dcterms:created>
  <dcterms:modified xsi:type="dcterms:W3CDTF">2022-02-01T21:22:09Z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